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5E6" w:rsidRPr="00205DB4" w:rsidRDefault="003D0EA6" w:rsidP="00205DB4">
      <w:pPr>
        <w:pStyle w:val="NoSpacing"/>
        <w:jc w:val="center"/>
        <w:rPr>
          <w:b/>
        </w:rPr>
      </w:pPr>
      <w:bookmarkStart w:id="0" w:name="_GoBack"/>
      <w:bookmarkEnd w:id="0"/>
      <w:r w:rsidRPr="00205DB4">
        <w:rPr>
          <w:b/>
        </w:rPr>
        <w:t>Letter of Medical Necessi</w:t>
      </w:r>
      <w:r w:rsidR="007F4C14">
        <w:rPr>
          <w:b/>
        </w:rPr>
        <w:t xml:space="preserve">ty for </w:t>
      </w:r>
      <w:r w:rsidR="007F4C14" w:rsidRPr="007F4C14">
        <w:rPr>
          <w:b/>
        </w:rPr>
        <w:t>Sudden Cardiac Arrest Arrhythmia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7F4C14">
        <w:t xml:space="preserve">  </w:t>
      </w:r>
      <w:r w:rsidR="007E6F57" w:rsidRPr="007E6F57">
        <w:t>Sudden Cardiac Arrest</w:t>
      </w:r>
      <w:r w:rsidR="007E6F57">
        <w:t xml:space="preserve"> (SCA)</w:t>
      </w:r>
      <w:r w:rsidR="007E6F57" w:rsidRPr="007E6F57">
        <w:t xml:space="preserve"> Arrhythmia Panel</w:t>
      </w:r>
    </w:p>
    <w:p w:rsidR="00F9401A" w:rsidRDefault="002D0B92" w:rsidP="00AB2F4A">
      <w:pPr>
        <w:pStyle w:val="NoSpacing"/>
      </w:pPr>
      <w:r w:rsidRPr="0064562A">
        <w:rPr>
          <w:b/>
        </w:rPr>
        <w:t>CPT Codes</w:t>
      </w:r>
      <w:r w:rsidR="00FB3BE6" w:rsidRPr="0064562A">
        <w:rPr>
          <w:b/>
        </w:rPr>
        <w:t>:</w:t>
      </w:r>
      <w:r w:rsidR="007E6F57">
        <w:rPr>
          <w:b/>
        </w:rPr>
        <w:t xml:space="preserve">  </w:t>
      </w:r>
      <w:r w:rsidR="007E6F57" w:rsidRPr="007E6F57">
        <w:t>81405x1, 81406x2, 81407x1, 81413x1, 81414x1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7E6F57">
        <w:t xml:space="preserve">quest full coverage for the </w:t>
      </w:r>
      <w:r w:rsidR="007E6F57" w:rsidRPr="007E6F57">
        <w:t xml:space="preserve">Sudden Cardiac Arrest </w:t>
      </w:r>
      <w:r w:rsidR="007E6F57">
        <w:t xml:space="preserve">(SCA) </w:t>
      </w:r>
      <w:r w:rsidR="007E6F57" w:rsidRPr="007E6F57">
        <w:t>Arrhythmia Panel</w:t>
      </w:r>
      <w:r w:rsidR="007E6F57" w:rsidRPr="00AB2F4A">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7E6F57" w:rsidRPr="007E6F57" w:rsidRDefault="007E6F57" w:rsidP="007E6F57">
      <w:pPr>
        <w:pStyle w:val="NoSpacing"/>
      </w:pPr>
      <w:r w:rsidRPr="007E6F57">
        <w:t xml:space="preserve">The Sudden Cardiac Arrest (SCA) Arrhythmia Panel includes germline analysis of genes involved in conditions that include severe cardiovascular manifestations, including sudden cardiac arrest and sudden cardiac death. Panel testing includes both sequencing and deletion/duplication analysis of multiple genes simultaneously.  </w:t>
      </w:r>
    </w:p>
    <w:p w:rsidR="007E6F57" w:rsidRPr="007E6F57" w:rsidRDefault="007E6F57" w:rsidP="007E6F57">
      <w:pPr>
        <w:pStyle w:val="NoSpacing"/>
      </w:pPr>
    </w:p>
    <w:p w:rsidR="007E6F57" w:rsidRPr="007E6F57" w:rsidRDefault="007E6F57" w:rsidP="007E6F57">
      <w:pPr>
        <w:pStyle w:val="NoSpacing"/>
      </w:pPr>
      <w:r w:rsidRPr="007E6F57">
        <w:t>Sudden cardiac arrest (SCA) is a significant cause (10-15%) of mortality in the United States, as only 3-10% of individuals are successfully resuscitated after an out-of-hospital cardiac arrest.</w:t>
      </w:r>
      <w:r w:rsidRPr="007E6F57">
        <w:rPr>
          <w:vertAlign w:val="superscript"/>
        </w:rPr>
        <w:t>1,2</w:t>
      </w:r>
      <w:r w:rsidRPr="007E6F57">
        <w:t xml:space="preserve"> The majority of </w:t>
      </w:r>
      <w:r w:rsidRPr="007E6F57">
        <w:lastRenderedPageBreak/>
        <w:t>sudden cardiac arrest or sudden cardiac death is a result of structural heart disease.</w:t>
      </w:r>
      <w:r w:rsidRPr="007E6F57">
        <w:rPr>
          <w:vertAlign w:val="superscript"/>
        </w:rPr>
        <w:t>1,3</w:t>
      </w:r>
      <w:r w:rsidRPr="007E6F57">
        <w:t xml:space="preserve"> However, unexplained cardiac arrest in the young (&lt;35y) is a less frequent occurrence and more commonly suggests an inherited form of heart disease.</w:t>
      </w:r>
      <w:r w:rsidRPr="007E6F57">
        <w:rPr>
          <w:vertAlign w:val="superscript"/>
        </w:rPr>
        <w:t>1,3</w:t>
      </w:r>
      <w:r w:rsidRPr="007E6F57">
        <w:t xml:space="preserve"> The occurrence of unexplained cardiac arrest or sudden cardiac death with no identifiable cause presents a diagnostic problem. An estimated 1/3 of sudden death cases in individuals younger than 20 years do not have an identifiable cause at autopsy, and arrhythmia should be considered in the differential diagnosis.</w:t>
      </w:r>
      <w:r w:rsidRPr="007E6F57">
        <w:rPr>
          <w:vertAlign w:val="superscript"/>
        </w:rPr>
        <w:t>4</w:t>
      </w:r>
      <w:r w:rsidRPr="007E6F57">
        <w:t xml:space="preserve"> In one study examining 173 individuals with sudden unexplained death and negative autopsy findings, 45 (26%) were subsequently diagnosed with an inherited arrhythmia condition.</w:t>
      </w:r>
      <w:r w:rsidRPr="007E6F57">
        <w:rPr>
          <w:vertAlign w:val="superscript"/>
        </w:rPr>
        <w:t>5</w:t>
      </w:r>
    </w:p>
    <w:p w:rsidR="007E6F57" w:rsidRPr="007E6F57" w:rsidRDefault="007E6F57" w:rsidP="007E6F57">
      <w:pPr>
        <w:pStyle w:val="NoSpacing"/>
      </w:pPr>
    </w:p>
    <w:p w:rsidR="00DB3B6E" w:rsidRDefault="007E6F57" w:rsidP="007E6F57">
      <w:pPr>
        <w:pStyle w:val="NoSpacing"/>
      </w:pPr>
      <w:r w:rsidRPr="007E6F57">
        <w:t>Cardiac arrhythmias occur due to disruption of the heart’s natural rhythm.  Long QT syndrome (LQTS), Brugada syndrome (BrS), and catecholaminergic polymorphic ventricular tachycardia (CPVT) are heritable forms of arrhythmia that frequently manifest symptoms before the age of 50, with some cases occurring in infancy. In each of these conditions, a significant proportion of patients present with sudden death as the first symptom. Other symptoms include palpitations, syncope, and dizziness. In some individuals or families, the clinical picture is complex and features of more than one of these conditions can be present, in which case a broader approach to genetic testing is imperative. Cardiac arrhythmias are genetically heterogeneous and have many different clinical presentations.  The diseases included in this SCA Panel occur in all ethnicities, and prevalence varies from 1 in 2,000 to 1 in 10,000.</w:t>
      </w:r>
      <w:r w:rsidRPr="007E6F57">
        <w:rPr>
          <w:vertAlign w:val="superscript"/>
        </w:rPr>
        <w:t>6,7,8</w:t>
      </w:r>
      <w:r>
        <w:t xml:space="preserve">  </w:t>
      </w:r>
      <w:r w:rsidRPr="007E6F57">
        <w:t>Genetic predispositions to arrhythmias can be inherited in an autosomal dominant, autosomal recessive, X-linked, or mitochondrial manner.</w:t>
      </w:r>
    </w:p>
    <w:p w:rsidR="007E6F57" w:rsidRDefault="007E6F57" w:rsidP="007E6F57">
      <w:pPr>
        <w:pStyle w:val="NoSpacing"/>
      </w:pPr>
    </w:p>
    <w:p w:rsidR="007E6F57" w:rsidRDefault="007E6F57" w:rsidP="007E6F57">
      <w:pPr>
        <w:pStyle w:val="NoSpacing"/>
      </w:pPr>
      <w:r w:rsidRPr="007E6F57">
        <w:t xml:space="preserve">The diagnosis of arrhythmias can often be established by noninvasive electrophysiological studies, including electrocardiogram, cardiac stress test, and holter and other event monitoring. However, when imaging results are absent, subtle, or non-specific, molecular diagnosis with genetic testing aids in diagnosis, management and establishing recurrence risk for family members. </w:t>
      </w:r>
      <w:r>
        <w:t xml:space="preserve">  </w:t>
      </w:r>
      <w:r w:rsidRPr="007E6F57">
        <w:t>Molecular genetic testing is critical to aid patient management in a cost-effective way and to minimize morbidity and mortality.</w:t>
      </w:r>
      <w:r w:rsidRPr="007E6F57">
        <w:rPr>
          <w:vertAlign w:val="superscript"/>
        </w:rPr>
        <w:t>10,11</w:t>
      </w:r>
      <w:r w:rsidRPr="007E6F57">
        <w:t xml:space="preserve">  </w:t>
      </w:r>
    </w:p>
    <w:p w:rsidR="007E6F57" w:rsidRDefault="007E6F57" w:rsidP="007E6F57">
      <w:pPr>
        <w:pStyle w:val="NoSpacing"/>
      </w:pPr>
    </w:p>
    <w:p w:rsidR="00325F27" w:rsidRDefault="00325F27" w:rsidP="00325F27">
      <w:pPr>
        <w:spacing w:after="240"/>
      </w:pPr>
      <w:r>
        <w:t>National and international medical societies have published guidelines that recommend genetic testing for arrhythmias:</w:t>
      </w:r>
    </w:p>
    <w:p w:rsidR="00325F27" w:rsidRDefault="00325F27" w:rsidP="00325F27">
      <w:pPr>
        <w:pStyle w:val="ListParagraph"/>
        <w:numPr>
          <w:ilvl w:val="0"/>
          <w:numId w:val="12"/>
        </w:numPr>
        <w:spacing w:after="240"/>
      </w:pPr>
      <w:r w:rsidRPr="009010A6">
        <w:t xml:space="preserve">The </w:t>
      </w:r>
      <w:r>
        <w:t>Heart Rhythm Society / European Heart Rhythm Association (</w:t>
      </w:r>
      <w:r w:rsidRPr="009010A6">
        <w:t>HRS/EHRA</w:t>
      </w:r>
      <w:r>
        <w:t>)</w:t>
      </w:r>
      <w:r w:rsidRPr="007E6F57">
        <w:t xml:space="preserve"> Expert Consensus Statement on the State of Genetic Testing for the Channelopathies and Cardiomyopathies </w:t>
      </w:r>
      <w:r w:rsidRPr="00CE5079">
        <w:t>states that comprehensive or targeted ARVC genetic testing can be useful for patients satisfying task force diagnostic criteria for ARVC and LVNC.</w:t>
      </w:r>
      <w:r w:rsidRPr="009D4339">
        <w:rPr>
          <w:vertAlign w:val="superscript"/>
        </w:rPr>
        <w:t>8</w:t>
      </w:r>
      <w:r w:rsidRPr="00CE5079">
        <w:t xml:space="preserve"> </w:t>
      </w:r>
    </w:p>
    <w:p w:rsidR="00325F27" w:rsidRDefault="00325F27" w:rsidP="00325F27">
      <w:pPr>
        <w:pStyle w:val="ListParagraph"/>
        <w:numPr>
          <w:ilvl w:val="0"/>
          <w:numId w:val="12"/>
        </w:numPr>
        <w:spacing w:after="240"/>
      </w:pPr>
      <w:r w:rsidRPr="00CE5079">
        <w:t>Similarly, the HRS/EHRA Expert Consensus Statement states that genetic testing is recommended with patients with clinical suspicion of LQTS or asymptomatic patients with primary QT prolongation, is recommended for patients with clinical suspicion of CPVT, and can be useful for patients with clinical suspicion of BrS.</w:t>
      </w:r>
      <w:r w:rsidRPr="009D4339">
        <w:rPr>
          <w:vertAlign w:val="superscript"/>
        </w:rPr>
        <w:t>8</w:t>
      </w:r>
    </w:p>
    <w:p w:rsidR="002F11FD"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DB3B6E" w:rsidRDefault="002F11FD" w:rsidP="00AB2F4A">
      <w:pPr>
        <w:pStyle w:val="NoSpacing"/>
        <w:rPr>
          <w:vertAlign w:val="superscript"/>
        </w:rPr>
      </w:pPr>
      <w:r>
        <w:t>T</w:t>
      </w:r>
      <w:r w:rsidRPr="002F11FD">
        <w:t>he results will guide appropriate medical management, including surveillance, preventive measures, and medical and surgical treatment.  Treatment for arrhythmia, and surveillance for progression, is critical and is strongly influenced by knowledge of the underlying genetic cause.</w:t>
      </w:r>
      <w:r w:rsidRPr="002F11FD">
        <w:rPr>
          <w:vertAlign w:val="superscript"/>
        </w:rPr>
        <w:t>6-12</w:t>
      </w:r>
    </w:p>
    <w:p w:rsidR="002F11FD" w:rsidRDefault="002F11FD" w:rsidP="00AB2F4A">
      <w:pPr>
        <w:pStyle w:val="NoSpacing"/>
        <w:rPr>
          <w:b/>
        </w:rPr>
      </w:pPr>
    </w:p>
    <w:p w:rsidR="002F11FD" w:rsidRDefault="002F11FD" w:rsidP="002F11FD">
      <w:pPr>
        <w:pStyle w:val="NoSpacing"/>
        <w:rPr>
          <w:color w:val="FF0000"/>
        </w:rPr>
      </w:pPr>
      <w:r w:rsidRPr="00E04209">
        <w:t>Manag</w:t>
      </w:r>
      <w:r>
        <w:t>ement for arrhythmias is summarized in</w:t>
      </w:r>
      <w:r w:rsidRPr="00E04209">
        <w:t xml:space="preserve"> specific consensus document</w:t>
      </w:r>
      <w:r>
        <w:t>s</w:t>
      </w:r>
      <w:r w:rsidRPr="00E04209">
        <w:t xml:space="preserve"> from the </w:t>
      </w:r>
      <w:r>
        <w:t xml:space="preserve">American College of Cardiology / American Heart Association (ACC/AHA), the </w:t>
      </w:r>
      <w:r w:rsidRPr="00E04209">
        <w:t xml:space="preserve">Heart Rhythm Association (HRS) and </w:t>
      </w:r>
      <w:r w:rsidRPr="00E04209">
        <w:lastRenderedPageBreak/>
        <w:t>the European Heart Rhythm Association (EHRA)</w:t>
      </w:r>
      <w:r>
        <w:t>, and in the</w:t>
      </w:r>
      <w:r w:rsidRPr="00E04209">
        <w:t xml:space="preserve"> European Society of Cardiology (ESC) guidelines on ventricular arrhythmias.</w:t>
      </w:r>
      <w:r>
        <w:rPr>
          <w:vertAlign w:val="superscript"/>
        </w:rPr>
        <w:t>10,11,13,15</w:t>
      </w:r>
      <w:r>
        <w:t xml:space="preserve">  </w:t>
      </w:r>
    </w:p>
    <w:p w:rsidR="002F11FD" w:rsidRPr="002F11FD" w:rsidRDefault="002F11FD" w:rsidP="00AB2F4A">
      <w:pPr>
        <w:pStyle w:val="NoSpacing"/>
        <w:rPr>
          <w:b/>
        </w:rPr>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7E6F57" w:rsidP="00AB2F4A">
      <w:pPr>
        <w:pStyle w:val="NoSpacing"/>
      </w:pPr>
      <w:r>
        <w:t xml:space="preserve">The </w:t>
      </w:r>
      <w:r w:rsidRPr="007E6F57">
        <w:t>Sudden Cardiac Arrest Arrhythmia Panel</w:t>
      </w:r>
      <w:r w:rsidRPr="00AB2F4A">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205DB4" w:rsidRDefault="00205DB4" w:rsidP="00AB2F4A">
      <w:pPr>
        <w:pStyle w:val="NoSpacing"/>
        <w:rPr>
          <w:color w:val="FF0000"/>
        </w:rPr>
      </w:pPr>
      <w:r w:rsidRPr="00205DB4">
        <w:rPr>
          <w:color w:val="FF0000"/>
        </w:rPr>
        <w:t>Ordering Provider’</w:t>
      </w:r>
      <w:r>
        <w:rPr>
          <w:color w:val="FF0000"/>
        </w:rPr>
        <w:t xml:space="preserve">s Name </w:t>
      </w:r>
    </w:p>
    <w:p w:rsidR="00C247D1" w:rsidRDefault="00C247D1" w:rsidP="00AB2F4A">
      <w:pPr>
        <w:pStyle w:val="NoSpacing"/>
        <w:rPr>
          <w:color w:val="FF0000"/>
        </w:rPr>
      </w:pPr>
    </w:p>
    <w:p w:rsidR="00C247D1" w:rsidRDefault="00C247D1" w:rsidP="00AB2F4A">
      <w:pPr>
        <w:pStyle w:val="NoSpacing"/>
        <w:rPr>
          <w:color w:val="FF0000"/>
        </w:rPr>
      </w:pPr>
    </w:p>
    <w:p w:rsidR="00454799" w:rsidRPr="002F11FD" w:rsidRDefault="00454799" w:rsidP="00454799">
      <w:r w:rsidRPr="002F11FD">
        <w:t>References:</w:t>
      </w:r>
    </w:p>
    <w:p w:rsidR="002F11FD" w:rsidRPr="002F11FD" w:rsidRDefault="002F11FD" w:rsidP="002F11FD">
      <w:pPr>
        <w:numPr>
          <w:ilvl w:val="0"/>
          <w:numId w:val="11"/>
        </w:numPr>
      </w:pPr>
      <w:r w:rsidRPr="002F11FD">
        <w:t xml:space="preserve">Prutkin et al. (2008) Genetics of sudden cardiac arrest. </w:t>
      </w:r>
      <w:r w:rsidRPr="002F11FD">
        <w:rPr>
          <w:i/>
        </w:rPr>
        <w:t>Prog Cardiovasc Dis</w:t>
      </w:r>
      <w:r w:rsidRPr="002F11FD">
        <w:t xml:space="preserve"> 50(6):390-403 (PMID: 18474283) </w:t>
      </w:r>
    </w:p>
    <w:p w:rsidR="002F11FD" w:rsidRPr="002F11FD" w:rsidRDefault="002F11FD" w:rsidP="002F11FD">
      <w:pPr>
        <w:numPr>
          <w:ilvl w:val="0"/>
          <w:numId w:val="11"/>
        </w:numPr>
      </w:pPr>
      <w:r w:rsidRPr="002F11FD">
        <w:t xml:space="preserve">Haissaguerre et al. (2008) Sudden cardiac arrest associated with early repolarization. </w:t>
      </w:r>
      <w:r w:rsidRPr="002F11FD">
        <w:rPr>
          <w:i/>
        </w:rPr>
        <w:t xml:space="preserve">N Eng J Med. </w:t>
      </w:r>
      <w:r w:rsidRPr="002F11FD">
        <w:t xml:space="preserve">358(19):2016-2023 ( PMID: 18463377) </w:t>
      </w:r>
    </w:p>
    <w:p w:rsidR="002F11FD" w:rsidRPr="002F11FD" w:rsidRDefault="002F11FD" w:rsidP="002F11FD">
      <w:pPr>
        <w:numPr>
          <w:ilvl w:val="0"/>
          <w:numId w:val="11"/>
        </w:numPr>
      </w:pPr>
      <w:r w:rsidRPr="002F11FD">
        <w:t xml:space="preserve">Hayashi et al. (2015) The spectrum of epidemiology underlying sudden cardiac death. </w:t>
      </w:r>
      <w:r w:rsidRPr="002F11FD">
        <w:rPr>
          <w:i/>
        </w:rPr>
        <w:t>Circ Res</w:t>
      </w:r>
      <w:r w:rsidRPr="002F11FD">
        <w:t xml:space="preserve"> 116(12): 1887-906 (PMID: 26044246) </w:t>
      </w:r>
    </w:p>
    <w:p w:rsidR="002F11FD" w:rsidRPr="002F11FD" w:rsidRDefault="002F11FD" w:rsidP="002F11FD">
      <w:pPr>
        <w:numPr>
          <w:ilvl w:val="0"/>
          <w:numId w:val="11"/>
        </w:numPr>
      </w:pPr>
      <w:r w:rsidRPr="002F11FD">
        <w:t xml:space="preserve">Tester and Ackerman (2009) Cardiomyopathic and channelopathic causes of sudden unexplained death in infants and children.  </w:t>
      </w:r>
      <w:r w:rsidRPr="002F11FD">
        <w:rPr>
          <w:i/>
        </w:rPr>
        <w:t>Ann Rev Med.</w:t>
      </w:r>
      <w:r w:rsidRPr="002F11FD">
        <w:t xml:space="preserve"> 60:69-84 (PMID: 18928334) </w:t>
      </w:r>
    </w:p>
    <w:p w:rsidR="002F11FD" w:rsidRPr="002F11FD" w:rsidRDefault="002F11FD" w:rsidP="002F11FD">
      <w:pPr>
        <w:numPr>
          <w:ilvl w:val="0"/>
          <w:numId w:val="11"/>
        </w:numPr>
      </w:pPr>
      <w:r w:rsidRPr="002F11FD">
        <w:t xml:space="preserve">Tester et al. (2012) Cardiac channel molecular autopsy: insights from 173 consecutive cases of autopsy-negative sudden unexplained death referred for postmortem genetic testing. </w:t>
      </w:r>
      <w:r w:rsidRPr="002F11FD">
        <w:rPr>
          <w:i/>
        </w:rPr>
        <w:t>Mayo Clinic Proceedings</w:t>
      </w:r>
      <w:r w:rsidRPr="002F11FD">
        <w:t xml:space="preserve"> 87 (6):524-39 (PMID: 22677073) </w:t>
      </w:r>
    </w:p>
    <w:p w:rsidR="002F11FD" w:rsidRPr="002F11FD" w:rsidRDefault="002F11FD" w:rsidP="002F11FD">
      <w:pPr>
        <w:numPr>
          <w:ilvl w:val="0"/>
          <w:numId w:val="11"/>
        </w:numPr>
      </w:pPr>
      <w:r w:rsidRPr="002F11FD">
        <w:t>Alders M, Christiaans I. Long QT Syndrome. 2003 Feb 20 [Updated 2015 Jun 18]. In: Pagon RA, Adam MP, Ardinger HH, et al., editors. GeneReviews® [Internet]. Seattle (WA): University of Washington, Seattle; 1993-2016. Available from: http://www.ncbi.nlm.nih.gov/books/NBK1129/</w:t>
      </w:r>
    </w:p>
    <w:p w:rsidR="002F11FD" w:rsidRPr="002F11FD" w:rsidRDefault="002F11FD" w:rsidP="002F11FD">
      <w:pPr>
        <w:numPr>
          <w:ilvl w:val="0"/>
          <w:numId w:val="11"/>
        </w:numPr>
      </w:pPr>
      <w:r w:rsidRPr="002F11FD">
        <w:t>Brugada, Campuzano, Brugada, et al. Brugada Syndrome. 2005 Mar 31 [Updated 2014 Apr 10]. In: Pagon RA, Adam MP, Ardinger HH, et al., editors. GeneReviews® [Internet]. Seattle (WA): University of Washington, Seattle; 1993-2014. Available from: http://www.ncbi.nlm.nih.gov/books/NBK1517/</w:t>
      </w:r>
    </w:p>
    <w:p w:rsidR="002F11FD" w:rsidRPr="002F11FD" w:rsidRDefault="002F11FD" w:rsidP="002F11FD">
      <w:pPr>
        <w:numPr>
          <w:ilvl w:val="0"/>
          <w:numId w:val="11"/>
        </w:numPr>
      </w:pPr>
      <w:r w:rsidRPr="002F11FD">
        <w:lastRenderedPageBreak/>
        <w:t>Napolitano C, Priori SG, Bloise R. Catecholaminergic Polymorphic Ventricular Tachycardia. 2004 Oct 14 [Updated 2014 Mar 6]. In: Pagon RA, Adam MP, Ardinger HH, et al., editors. GeneReviews® [Internet]. Seattle (WA): University of Washington, Seattle; 1993-2015. Available from: http://www.ncbi.nlm.nih.gov/books/NBK1289/</w:t>
      </w:r>
    </w:p>
    <w:p w:rsidR="002F11FD" w:rsidRPr="002F11FD" w:rsidRDefault="002F11FD" w:rsidP="002F11FD">
      <w:pPr>
        <w:numPr>
          <w:ilvl w:val="0"/>
          <w:numId w:val="11"/>
        </w:numPr>
      </w:pPr>
      <w:r w:rsidRPr="002F11FD">
        <w:t>McNally E, MacLeod H, Dellefave-Castillo L. Arrhythmogenic Right Ventricular Dysplasia/Cardiomyopathy. 2005 Apr 18 [Updated 2014 Jan 9]. In: Pagon RA, Adam MP, Ardinger HH, et al., editors. GeneReviews® [Internet]. Seattle (WA): University of Washington, Seattle; 1993-2017. Available from: https://www.ncbi.nlm.nih.gov/books/NBK1131/</w:t>
      </w:r>
    </w:p>
    <w:p w:rsidR="002F11FD" w:rsidRPr="002F11FD" w:rsidRDefault="002F11FD" w:rsidP="002F11FD">
      <w:pPr>
        <w:numPr>
          <w:ilvl w:val="0"/>
          <w:numId w:val="11"/>
        </w:numPr>
      </w:pPr>
      <w:r w:rsidRPr="002F11FD">
        <w:t xml:space="preserve">Priori et al. (2013) Executive summary: HRS/EHRA/APHRS expert consensus statement on the diagnosis and management of patients with inherited primary arrhythmia syndromes. </w:t>
      </w:r>
      <w:r w:rsidRPr="002F11FD">
        <w:rPr>
          <w:i/>
        </w:rPr>
        <w:t xml:space="preserve">Europace </w:t>
      </w:r>
      <w:r w:rsidRPr="002F11FD">
        <w:t>15 (10):1389-406 (PMID: 23994779)</w:t>
      </w:r>
    </w:p>
    <w:p w:rsidR="002F11FD" w:rsidRPr="002F11FD" w:rsidRDefault="002F11FD" w:rsidP="002F11FD">
      <w:pPr>
        <w:numPr>
          <w:ilvl w:val="0"/>
          <w:numId w:val="11"/>
        </w:numPr>
      </w:pPr>
      <w:r w:rsidRPr="002F11FD">
        <w:t xml:space="preserve">Priori et al. (2015) 2015 ESC Guidelines for the management of patients with ventricular arrhythmias and the prevention of sudden cardiac death: The Task Force for the Management of Patients with Ventricular Arrhythmias and the Prevention of Sudden Cardiac Death of the European Society of Cardiology (ESC) Endorsed by: Association for European Paediatric and Congenital Cardiology (AEPC).  </w:t>
      </w:r>
      <w:r w:rsidRPr="002F11FD">
        <w:rPr>
          <w:i/>
        </w:rPr>
        <w:t xml:space="preserve">Europace </w:t>
      </w:r>
      <w:r w:rsidRPr="002F11FD">
        <w:t>17 (11):1601-87 (PMID: 26318695)</w:t>
      </w:r>
    </w:p>
    <w:p w:rsidR="002F11FD" w:rsidRDefault="002F11FD" w:rsidP="002F11FD">
      <w:pPr>
        <w:numPr>
          <w:ilvl w:val="0"/>
          <w:numId w:val="11"/>
        </w:numPr>
      </w:pPr>
      <w:r w:rsidRPr="002F11FD">
        <w:t>Brugada &amp; Fernandez-Armenta (2012) E-Journal of Cardiology Practice. 10(25) Available from: https://www.escardio.org/Journals/E-Journal-of-Cardiology-Practice/Volume-10/Arrhythmogenic-right-ventricular-dyplasia (Accessed 4/14/2017).</w:t>
      </w:r>
    </w:p>
    <w:p w:rsidR="002F11FD" w:rsidRDefault="002F11FD" w:rsidP="002F11FD">
      <w:pPr>
        <w:numPr>
          <w:ilvl w:val="0"/>
          <w:numId w:val="11"/>
        </w:numPr>
      </w:pPr>
      <w:r w:rsidRPr="00CD2F27">
        <w:t>Ackerman et al. (2011) HRS/EHRA expert consensus statement on the state of genetic testing for the channelopathies and cardiomyopathies this document was developed as a partnership between the Heart Rhythm Society (HRS) and the European Heart Rhythm Association (EHRA). Heart Rhythm : The Official Journal Of The Heart Rhythm Society 8 (8):1308-39 (PMID: 21787999)</w:t>
      </w:r>
      <w:r>
        <w:t>.</w:t>
      </w:r>
    </w:p>
    <w:p w:rsidR="002F11FD" w:rsidRDefault="002F11FD" w:rsidP="002F11FD">
      <w:pPr>
        <w:pStyle w:val="ListParagraph"/>
        <w:widowControl w:val="0"/>
        <w:numPr>
          <w:ilvl w:val="0"/>
          <w:numId w:val="11"/>
        </w:numPr>
        <w:autoSpaceDE w:val="0"/>
        <w:autoSpaceDN w:val="0"/>
        <w:adjustRightInd w:val="0"/>
        <w:spacing w:after="0" w:line="240" w:lineRule="auto"/>
      </w:pPr>
      <w:r>
        <w:t>Hershberger et al. (2018) Genetic Evaluation of Cardiomyopathy-A Heart Failure Society of America Practice Guideline. J. Card. Fail. 24 (5):281-302 (PMID: 29567486).</w:t>
      </w:r>
    </w:p>
    <w:p w:rsidR="002F11FD" w:rsidRDefault="002F11FD" w:rsidP="002F11FD">
      <w:pPr>
        <w:pStyle w:val="ListParagraph"/>
        <w:widowControl w:val="0"/>
        <w:autoSpaceDE w:val="0"/>
        <w:autoSpaceDN w:val="0"/>
        <w:adjustRightInd w:val="0"/>
        <w:spacing w:after="0" w:line="240" w:lineRule="auto"/>
      </w:pPr>
    </w:p>
    <w:p w:rsidR="002F11FD" w:rsidRPr="002F11FD" w:rsidRDefault="002F11FD" w:rsidP="002F11FD">
      <w:pPr>
        <w:pStyle w:val="ListParagraph"/>
        <w:widowControl w:val="0"/>
        <w:numPr>
          <w:ilvl w:val="0"/>
          <w:numId w:val="11"/>
        </w:numPr>
        <w:autoSpaceDE w:val="0"/>
        <w:autoSpaceDN w:val="0"/>
        <w:adjustRightInd w:val="0"/>
        <w:spacing w:after="0" w:line="240" w:lineRule="auto"/>
        <w:rPr>
          <w:sz w:val="20"/>
          <w:szCs w:val="20"/>
        </w:rPr>
      </w:pPr>
      <w:r>
        <w:t>Epstein et al. (2013) 2012 ACCF/AHA/HRS focused update incorporated into the ACCF/AHA/HRS 2008 guidelines for device-based therapy of cardiac rhythm abnormalities: a report of the American College of Cardiology Foundation/American Heart Association Task Force on Practice Guidelines and the Heart Rhythm Society. Journal Of The American College Of Cardiology. J. Am. Coll. Cardiol. 61 (3):e6-75 (PMID: 23265327).</w:t>
      </w:r>
    </w:p>
    <w:p w:rsidR="002F11FD" w:rsidRPr="002F11FD" w:rsidRDefault="002F11FD" w:rsidP="002F11FD">
      <w:pPr>
        <w:rPr>
          <w:sz w:val="18"/>
          <w:szCs w:val="18"/>
        </w:rPr>
      </w:pPr>
    </w:p>
    <w:p w:rsidR="002F11FD" w:rsidRPr="00454799" w:rsidRDefault="002F11FD" w:rsidP="00454799">
      <w:pPr>
        <w:rPr>
          <w:sz w:val="18"/>
          <w:szCs w:val="18"/>
        </w:rPr>
      </w:pPr>
    </w:p>
    <w:sectPr w:rsidR="002F11FD"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5906A7"/>
    <w:multiLevelType w:val="hybridMultilevel"/>
    <w:tmpl w:val="E8860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696BA7"/>
    <w:multiLevelType w:val="hybridMultilevel"/>
    <w:tmpl w:val="4B6828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E084A"/>
    <w:multiLevelType w:val="hybridMultilevel"/>
    <w:tmpl w:val="042A1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8"/>
  </w:num>
  <w:num w:numId="4">
    <w:abstractNumId w:val="6"/>
  </w:num>
  <w:num w:numId="5">
    <w:abstractNumId w:val="5"/>
  </w:num>
  <w:num w:numId="6">
    <w:abstractNumId w:val="11"/>
  </w:num>
  <w:num w:numId="7">
    <w:abstractNumId w:val="4"/>
  </w:num>
  <w:num w:numId="8">
    <w:abstractNumId w:val="0"/>
  </w:num>
  <w:num w:numId="9">
    <w:abstractNumId w:val="9"/>
  </w:num>
  <w:num w:numId="10">
    <w:abstractNumId w:val="2"/>
  </w:num>
  <w:num w:numId="11">
    <w:abstractNumId w:val="1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es-US" w:vendorID="64" w:dllVersion="131078" w:nlCheck="1" w:checkStyle="0"/>
  <w:activeWritingStyle w:appName="MSWord" w:lang="en-US" w:vendorID="64" w:dllVersion="131078" w:nlCheck="1" w:checkStyle="1"/>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183FA7"/>
    <w:rsid w:val="00205DB4"/>
    <w:rsid w:val="002414B7"/>
    <w:rsid w:val="00253146"/>
    <w:rsid w:val="002A7478"/>
    <w:rsid w:val="002D0B92"/>
    <w:rsid w:val="002F11FD"/>
    <w:rsid w:val="00301F9D"/>
    <w:rsid w:val="00325F27"/>
    <w:rsid w:val="00342070"/>
    <w:rsid w:val="003D0EA6"/>
    <w:rsid w:val="003E2CA8"/>
    <w:rsid w:val="00433DFB"/>
    <w:rsid w:val="00454799"/>
    <w:rsid w:val="00465837"/>
    <w:rsid w:val="004978D4"/>
    <w:rsid w:val="00535623"/>
    <w:rsid w:val="00543EEA"/>
    <w:rsid w:val="005B76FB"/>
    <w:rsid w:val="006337EC"/>
    <w:rsid w:val="0064562A"/>
    <w:rsid w:val="00652804"/>
    <w:rsid w:val="00653661"/>
    <w:rsid w:val="0071491F"/>
    <w:rsid w:val="0073022E"/>
    <w:rsid w:val="0074159D"/>
    <w:rsid w:val="00776731"/>
    <w:rsid w:val="007E6F57"/>
    <w:rsid w:val="007F4C14"/>
    <w:rsid w:val="00855940"/>
    <w:rsid w:val="008569AB"/>
    <w:rsid w:val="008706C4"/>
    <w:rsid w:val="00887B41"/>
    <w:rsid w:val="008E7C39"/>
    <w:rsid w:val="00900219"/>
    <w:rsid w:val="00921AF4"/>
    <w:rsid w:val="009C555B"/>
    <w:rsid w:val="00AB2F4A"/>
    <w:rsid w:val="00B27690"/>
    <w:rsid w:val="00B374A4"/>
    <w:rsid w:val="00B82599"/>
    <w:rsid w:val="00BE244D"/>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1516</Words>
  <Characters>8644</Characters>
  <Application>Microsoft Office Word</Application>
  <DocSecurity>4</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Heather Soler</cp:lastModifiedBy>
  <cp:revision>2</cp:revision>
  <dcterms:created xsi:type="dcterms:W3CDTF">2021-07-15T21:44:00Z</dcterms:created>
  <dcterms:modified xsi:type="dcterms:W3CDTF">2021-07-15T21:44:00Z</dcterms:modified>
</cp:coreProperties>
</file>